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lang w:val="en-US" w:eastAsia="zh-CN"/>
        </w:rPr>
        <w:t>连云港市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</w:rPr>
        <w:t>民族宗教事务局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</w:rPr>
        <w:t>重大行政决策事项目录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 </w:t>
      </w:r>
      <w:bookmarkStart w:id="0" w:name="_GoBack"/>
      <w:bookmarkEnd w:id="0"/>
    </w:p>
    <w:tbl>
      <w:tblPr>
        <w:tblStyle w:val="4"/>
        <w:tblW w:w="8520" w:type="dxa"/>
        <w:jc w:val="center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4739"/>
        <w:gridCol w:w="29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决策事项</w:t>
            </w:r>
          </w:p>
        </w:tc>
        <w:tc>
          <w:tcPr>
            <w:tcW w:w="2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承办部门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市级少数民族发展资金安排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民族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处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社会影响面广的大型宗教活动场所 规划建设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宗教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涉民族宗教重要规范性文件的制定、修改和实施；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办公室、相关业务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涉民族宗教重大行政执法决定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相关业务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E053A"/>
    <w:rsid w:val="14BE053A"/>
    <w:rsid w:val="725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2017-12-27T03:03:00Z</dcterms:created>
  <dc:creator>新浦街第一大呲花</dc:creator>
  <cp:lastModifiedBy>新浦街第一大呲花</cp:lastModifiedBy>
  <dcterms:modified xsi:type="dcterms:W3CDTF">2017-12-27T03:04:17Z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